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新疆维吾尔自治区自然科学优秀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学术论文评价表</w:t>
      </w:r>
    </w:p>
    <w:bookmarkEnd w:id="0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41"/>
        <w:gridCol w:w="4830"/>
        <w:gridCol w:w="406"/>
        <w:gridCol w:w="131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b/>
                <w:bCs/>
                <w:spacing w:val="-20"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b/>
                <w:bCs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指标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b/>
                <w:bCs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指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标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含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>量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b/>
                <w:bCs/>
                <w:sz w:val="24"/>
                <w:szCs w:val="22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评定分值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创新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30%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在理论研究或应用技术研究上有新的发现、新的发明、新的创造，在学术界引起反响。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30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29-23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23</w:t>
            </w:r>
            <w:r>
              <w:rPr>
                <w:rFonts w:hint="eastAsia" w:eastAsia="仿宋_GB2312"/>
                <w:sz w:val="24"/>
              </w:rPr>
              <w:t>分以下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价值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25%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论文对丰富本学科系统内容及对该系统发展的重要价值，对经济发展和科技繁荣的促进作用。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25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24-20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分以下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pacing w:val="-20"/>
                <w:sz w:val="24"/>
                <w:szCs w:val="22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科学性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15%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论据充分可靠，数据处理和实验设计方法先进，分析综合全面，推论严谨，逻辑性强，结论准确严密。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15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14-12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分以下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难度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15%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论题的深度，涉及学科面广度，攻克难点程度，外文图表、公式复杂程度，撰写论文工作量大小。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15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14-12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分以下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水平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10%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与有关同类论文比较，所达到的内外、国内外水平。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9-8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分以下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表达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5%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文字精练，用词准确，结构严谨，重点突出。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4-3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7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分以下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总得分</w:t>
            </w:r>
          </w:p>
        </w:tc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黑体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</w:rPr>
              <w:t>专家代号</w:t>
            </w:r>
          </w:p>
        </w:tc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 w:cs="黑体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985" w:right="1588" w:bottom="1814" w:left="1588" w:header="1644" w:footer="1021" w:gutter="0"/>
          <w:cols w:space="720" w:num="1"/>
          <w:docGrid w:type="linesAndChars" w:linePitch="579" w:charSpace="-849"/>
        </w:sectPr>
      </w:pPr>
      <w:r>
        <w:rPr>
          <w:rFonts w:hint="eastAsia" w:ascii="仿宋_GB2312" w:eastAsia="仿宋_GB2312"/>
          <w:sz w:val="24"/>
        </w:rPr>
        <w:t>注：此表可复制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color w:val="FFFFFF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OWVhYTJmNjc2NDAzZTNjZWEzYzQ0YWY4NTdiNTgifQ=="/>
  </w:docVars>
  <w:rsids>
    <w:rsidRoot w:val="5A720C34"/>
    <w:rsid w:val="5A72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2022-05-10T11:53:00Z</dcterms:created>
  <dc:creator>HP</dc:creator>
  <cp:lastModifiedBy>HP</cp:lastModifiedBy>
  <dcterms:modified xsi:type="dcterms:W3CDTF">2022-05-10T11:53:47Z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D8FE746EF5B24ED59EDA746F3D15AB17</vt:lpwstr>
  </property>
</Properties>
</file>